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0E" w:rsidRPr="002072BE" w:rsidRDefault="00B30AA7" w:rsidP="00B30AA7">
      <w:pPr>
        <w:jc w:val="right"/>
        <w:rPr>
          <w:color w:val="FF0000"/>
        </w:rPr>
      </w:pPr>
      <w:bookmarkStart w:id="0" w:name="_GoBack"/>
      <w:bookmarkEnd w:id="0"/>
      <w:r w:rsidRPr="002072BE">
        <w:rPr>
          <w:color w:val="FF0000"/>
        </w:rPr>
        <w:t>Allegato d) al PTPC 2019/2021</w:t>
      </w:r>
    </w:p>
    <w:p w:rsidR="00AC430E" w:rsidRDefault="00AC430E"/>
    <w:p w:rsidR="00B30AA7" w:rsidRPr="002072BE" w:rsidRDefault="00AC430E" w:rsidP="00B30AA7">
      <w:pPr>
        <w:jc w:val="center"/>
        <w:rPr>
          <w:b/>
          <w:color w:val="FF0000"/>
          <w:sz w:val="32"/>
          <w:szCs w:val="32"/>
        </w:rPr>
      </w:pPr>
      <w:r w:rsidRPr="002072BE">
        <w:rPr>
          <w:b/>
          <w:color w:val="FF0000"/>
          <w:sz w:val="32"/>
          <w:szCs w:val="32"/>
        </w:rPr>
        <w:t xml:space="preserve">INTEGRAZIONE MAPPATURA  DEI PROCESSI CON INDICAZIONE DEI </w:t>
      </w:r>
    </w:p>
    <w:p w:rsidR="00A86D23" w:rsidRPr="002072BE" w:rsidRDefault="00AC430E" w:rsidP="00B30AA7">
      <w:pPr>
        <w:jc w:val="center"/>
        <w:rPr>
          <w:b/>
          <w:color w:val="FF0000"/>
          <w:sz w:val="32"/>
          <w:szCs w:val="32"/>
        </w:rPr>
      </w:pPr>
      <w:r w:rsidRPr="002072BE">
        <w:rPr>
          <w:b/>
          <w:color w:val="FF0000"/>
          <w:sz w:val="32"/>
          <w:szCs w:val="32"/>
        </w:rPr>
        <w:t>SUB-PROCESSI</w:t>
      </w:r>
      <w:r w:rsidR="00B30AA7" w:rsidRPr="002072BE">
        <w:rPr>
          <w:b/>
          <w:color w:val="FF0000"/>
          <w:sz w:val="32"/>
          <w:szCs w:val="32"/>
        </w:rPr>
        <w:t xml:space="preserve"> E CORRELATI LIVELLI DI RISCHIO</w:t>
      </w:r>
    </w:p>
    <w:p w:rsidR="002D6DE1" w:rsidRDefault="002D6DE1" w:rsidP="000D0635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6D63D7" w:rsidRPr="00677C2B" w:rsidRDefault="001454FB" w:rsidP="006D63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77C2B">
        <w:rPr>
          <w:sz w:val="28"/>
          <w:szCs w:val="28"/>
        </w:rPr>
        <w:t xml:space="preserve">Si definisce “ </w:t>
      </w:r>
      <w:proofErr w:type="spellStart"/>
      <w:r w:rsidRPr="00677C2B">
        <w:rPr>
          <w:i/>
          <w:sz w:val="28"/>
          <w:szCs w:val="28"/>
        </w:rPr>
        <w:t>macroprocesso</w:t>
      </w:r>
      <w:proofErr w:type="spellEnd"/>
      <w:r w:rsidRPr="00677C2B">
        <w:rPr>
          <w:sz w:val="28"/>
          <w:szCs w:val="28"/>
        </w:rPr>
        <w:t xml:space="preserve"> “ </w:t>
      </w:r>
      <w:r w:rsidR="000D0635" w:rsidRPr="00677C2B">
        <w:rPr>
          <w:sz w:val="28"/>
          <w:szCs w:val="28"/>
        </w:rPr>
        <w:t xml:space="preserve"> l’insieme dei processi che perseguono gli stessi obiettivi strategici/finalità e che sono caratterizzati da output simili per omogeneità tecnica in quanto diretti a soddisfare gli stessi bisogni per gli stessi clienti/utenti interni o esterni.</w:t>
      </w:r>
    </w:p>
    <w:p w:rsidR="006D63D7" w:rsidRPr="00677C2B" w:rsidRDefault="006D63D7" w:rsidP="006D63D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84459" w:rsidRPr="00677C2B" w:rsidRDefault="006D63D7" w:rsidP="0098445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77C2B">
        <w:rPr>
          <w:sz w:val="28"/>
          <w:szCs w:val="28"/>
        </w:rPr>
        <w:t xml:space="preserve">Si definisce “ </w:t>
      </w:r>
      <w:r w:rsidRPr="00677C2B">
        <w:rPr>
          <w:i/>
          <w:sz w:val="28"/>
          <w:szCs w:val="28"/>
        </w:rPr>
        <w:t xml:space="preserve">processo </w:t>
      </w:r>
      <w:r w:rsidRPr="00677C2B">
        <w:rPr>
          <w:sz w:val="28"/>
          <w:szCs w:val="28"/>
        </w:rPr>
        <w:t>“ l’insieme di attività che utilizzano risorse per trasformare gli input (es. proposte di budget delle strutture) in un output, seguendo specifiche metodologie (es. procedure, istruzioni ecc.) e rispettando i vincoli di sistema (es. norme, regolamenti ecc.) per realizzare un bene o un servizio di valore per un utente.</w:t>
      </w:r>
    </w:p>
    <w:p w:rsidR="00984459" w:rsidRPr="00677C2B" w:rsidRDefault="00984459" w:rsidP="00984459">
      <w:pPr>
        <w:pStyle w:val="Paragrafoelenco"/>
        <w:rPr>
          <w:sz w:val="28"/>
          <w:szCs w:val="28"/>
        </w:rPr>
      </w:pPr>
    </w:p>
    <w:p w:rsidR="00944BC6" w:rsidRPr="00677C2B" w:rsidRDefault="006D63D7" w:rsidP="00944B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77C2B">
        <w:rPr>
          <w:sz w:val="28"/>
          <w:szCs w:val="28"/>
        </w:rPr>
        <w:t xml:space="preserve">Si definisce “ </w:t>
      </w:r>
      <w:r w:rsidRPr="00677C2B">
        <w:rPr>
          <w:i/>
          <w:sz w:val="28"/>
          <w:szCs w:val="28"/>
        </w:rPr>
        <w:t>sub-processo</w:t>
      </w:r>
      <w:r w:rsidRPr="00677C2B">
        <w:rPr>
          <w:sz w:val="28"/>
          <w:szCs w:val="28"/>
        </w:rPr>
        <w:t xml:space="preserve"> “ una parte del processo</w:t>
      </w:r>
      <w:r w:rsidR="006A31BC" w:rsidRPr="00677C2B">
        <w:rPr>
          <w:sz w:val="28"/>
          <w:szCs w:val="28"/>
        </w:rPr>
        <w:t xml:space="preserve"> che </w:t>
      </w:r>
      <w:r w:rsidR="00984459" w:rsidRPr="00677C2B">
        <w:rPr>
          <w:sz w:val="28"/>
          <w:szCs w:val="28"/>
        </w:rPr>
        <w:t>comprende più attività e ha propri attributi in termini di obiettivo (es. bando di concorso), input e output, contribuendo nel contempo al raggiungimento del risultato più generale del processo (es. programmazione del fabbisogno di personale). Il sub-processo si distingue dal processo perché l’output, pur avendo una propria autonomia, contribuisce all’output finale del processo.</w:t>
      </w:r>
    </w:p>
    <w:p w:rsidR="00944BC6" w:rsidRPr="00677C2B" w:rsidRDefault="00944BC6" w:rsidP="00944BC6">
      <w:pPr>
        <w:pStyle w:val="Paragrafoelenco"/>
        <w:rPr>
          <w:sz w:val="28"/>
          <w:szCs w:val="28"/>
        </w:rPr>
      </w:pPr>
    </w:p>
    <w:p w:rsidR="00944BC6" w:rsidRPr="00677C2B" w:rsidRDefault="00944BC6" w:rsidP="00944B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77C2B">
        <w:rPr>
          <w:sz w:val="28"/>
          <w:szCs w:val="28"/>
        </w:rPr>
        <w:t>Si definisce “ attività “  la sequenza di operazioni elementari che non sarebbe utile né produttivo scomporre ulteriormente al proprio interno. Le attività sono collegate tra loro</w:t>
      </w:r>
      <w:r w:rsidR="00D05C1A" w:rsidRPr="00677C2B">
        <w:rPr>
          <w:sz w:val="28"/>
          <w:szCs w:val="28"/>
        </w:rPr>
        <w:t xml:space="preserve"> attraverso meccanismi di interdipendenza funzionale che consentono di tracciare i confini del processo che le raggruppa. L’output non è autonomamente apprezzabile.</w:t>
      </w:r>
    </w:p>
    <w:p w:rsidR="00944BC6" w:rsidRDefault="00944BC6" w:rsidP="00944BC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984459" w:rsidRDefault="00677C2B" w:rsidP="0093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072BE">
        <w:rPr>
          <w:rFonts w:ascii="Calibri" w:hAnsi="Calibri" w:cs="Calibri"/>
          <w:sz w:val="28"/>
          <w:szCs w:val="28"/>
          <w:u w:val="single"/>
        </w:rPr>
        <w:t>Note di lettura</w:t>
      </w:r>
      <w:r>
        <w:rPr>
          <w:rFonts w:ascii="Calibri" w:hAnsi="Calibri" w:cs="Calibri"/>
          <w:sz w:val="28"/>
          <w:szCs w:val="28"/>
        </w:rPr>
        <w:t xml:space="preserve">: L’analisi dei processi per arrivare alla loro integrazione </w:t>
      </w:r>
      <w:r w:rsidR="002072BE">
        <w:rPr>
          <w:rFonts w:ascii="Calibri" w:hAnsi="Calibri" w:cs="Calibri"/>
          <w:sz w:val="28"/>
          <w:szCs w:val="28"/>
        </w:rPr>
        <w:t xml:space="preserve">si è avvalsa di un metodo partecipativo attraverso il coinvolgimento di tutte le Aree funzionali dell’Amministrazione Comunale. Con riferimento all’aggiornamento </w:t>
      </w:r>
      <w:r w:rsidR="002072BE" w:rsidRPr="002072BE">
        <w:rPr>
          <w:rFonts w:ascii="Calibri" w:hAnsi="Calibri" w:cs="Calibri"/>
          <w:color w:val="FF0000"/>
          <w:sz w:val="28"/>
          <w:szCs w:val="28"/>
        </w:rPr>
        <w:t xml:space="preserve">2019/2021 </w:t>
      </w:r>
      <w:r w:rsidR="002072BE">
        <w:rPr>
          <w:rFonts w:ascii="Calibri" w:hAnsi="Calibri" w:cs="Calibri"/>
          <w:sz w:val="28"/>
          <w:szCs w:val="28"/>
        </w:rPr>
        <w:t>del PTPCT la rilevazione avviata dal Responsabile della prevenzione della corruzione non ha condotto a significative indicazioni utili alla integrazione della mappatura dei processi, mentre sono pervenuti riscontri adeguati alla definizione di sub – processi che sono stati a loro volta sottoposti alla ponderazione del rischio</w:t>
      </w:r>
      <w:r w:rsidR="00537ED0">
        <w:rPr>
          <w:rFonts w:ascii="Calibri" w:hAnsi="Calibri" w:cs="Calibri"/>
          <w:sz w:val="28"/>
          <w:szCs w:val="28"/>
        </w:rPr>
        <w:t xml:space="preserve"> </w:t>
      </w:r>
      <w:r w:rsidR="00537ED0" w:rsidRPr="00537ED0">
        <w:rPr>
          <w:rFonts w:ascii="Calibri" w:hAnsi="Calibri" w:cs="Calibri"/>
          <w:i/>
          <w:sz w:val="28"/>
          <w:szCs w:val="28"/>
        </w:rPr>
        <w:t>[schede di valutazione del rischio in atti]</w:t>
      </w:r>
      <w:r w:rsidR="002072BE" w:rsidRPr="00537ED0">
        <w:rPr>
          <w:rFonts w:ascii="Calibri" w:hAnsi="Calibri" w:cs="Calibri"/>
          <w:i/>
          <w:sz w:val="28"/>
          <w:szCs w:val="28"/>
        </w:rPr>
        <w:t xml:space="preserve"> </w:t>
      </w:r>
      <w:r w:rsidR="002072BE">
        <w:rPr>
          <w:rFonts w:ascii="Calibri" w:hAnsi="Calibri" w:cs="Calibri"/>
          <w:sz w:val="28"/>
          <w:szCs w:val="28"/>
        </w:rPr>
        <w:t>ai fini della grad</w:t>
      </w:r>
      <w:r w:rsidR="00537ED0">
        <w:rPr>
          <w:rFonts w:ascii="Calibri" w:hAnsi="Calibri" w:cs="Calibri"/>
          <w:sz w:val="28"/>
          <w:szCs w:val="28"/>
        </w:rPr>
        <w:t>uazione del liv</w:t>
      </w:r>
      <w:r w:rsidR="005829B8">
        <w:rPr>
          <w:rFonts w:ascii="Calibri" w:hAnsi="Calibri" w:cs="Calibri"/>
          <w:sz w:val="28"/>
          <w:szCs w:val="28"/>
        </w:rPr>
        <w:t>ello di rischio anticorruzione, come di seguito riportato:</w:t>
      </w:r>
    </w:p>
    <w:p w:rsidR="00374054" w:rsidRDefault="00374054" w:rsidP="009333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664" w:rsidRPr="004B4664" w:rsidTr="004B4664">
        <w:tc>
          <w:tcPr>
            <w:tcW w:w="9778" w:type="dxa"/>
          </w:tcPr>
          <w:p w:rsidR="004B4664" w:rsidRDefault="004B4664" w:rsidP="000520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lastRenderedPageBreak/>
              <w:t>PROCESSO SERVIZI PER DISABILI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:rsidR="004B4664" w:rsidRPr="004B4664" w:rsidRDefault="004B4664" w:rsidP="000520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Sub </w:t>
            </w:r>
            <w:r w:rsidR="00460A05">
              <w:rPr>
                <w:rFonts w:ascii="Calibri" w:hAnsi="Calibri" w:cs="Calibri"/>
                <w:color w:val="FF0000"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processo</w:t>
            </w:r>
            <w:r w:rsidR="00460A05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  <w:r w:rsidR="00460A05" w:rsidRPr="00460A05">
              <w:rPr>
                <w:rFonts w:ascii="Arial" w:eastAsia="Arial" w:hAnsi="Arial" w:cs="Arial"/>
                <w:color w:val="000000"/>
                <w:sz w:val="18"/>
                <w:szCs w:val="18"/>
                <w:lang w:eastAsia="it-IT"/>
              </w:rPr>
              <w:t>Gestione rilascio /rinnovo del contrassegno sosta riservata agli invalidi</w:t>
            </w:r>
          </w:p>
        </w:tc>
      </w:tr>
      <w:tr w:rsidR="004B4664" w:rsidRPr="004B4664" w:rsidTr="004B4664">
        <w:tc>
          <w:tcPr>
            <w:tcW w:w="9778" w:type="dxa"/>
          </w:tcPr>
          <w:p w:rsidR="004B4664" w:rsidRPr="004B4664" w:rsidRDefault="004B4664" w:rsidP="000520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Probabilità</w:t>
            </w:r>
            <w:r w:rsidR="008C2CA5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2,3</w:t>
            </w:r>
          </w:p>
        </w:tc>
      </w:tr>
      <w:tr w:rsidR="004B4664" w:rsidRPr="004B4664" w:rsidTr="004B4664">
        <w:tc>
          <w:tcPr>
            <w:tcW w:w="9778" w:type="dxa"/>
          </w:tcPr>
          <w:p w:rsidR="004B4664" w:rsidRPr="004B4664" w:rsidRDefault="004B4664" w:rsidP="000520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Impatto</w:t>
            </w:r>
            <w:r w:rsidR="008C2CA5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1,5</w:t>
            </w:r>
          </w:p>
        </w:tc>
      </w:tr>
      <w:tr w:rsidR="004B4664" w:rsidRPr="004B4664" w:rsidTr="004B4664">
        <w:tc>
          <w:tcPr>
            <w:tcW w:w="9778" w:type="dxa"/>
          </w:tcPr>
          <w:p w:rsidR="004B4664" w:rsidRPr="004B4664" w:rsidRDefault="004B4664" w:rsidP="000520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Ponderazione del rischio (probabilità per impatto)</w:t>
            </w:r>
            <w:r w:rsidR="008C2CA5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3,45</w:t>
            </w:r>
          </w:p>
        </w:tc>
      </w:tr>
      <w:tr w:rsidR="004B4664" w:rsidRPr="004B4664" w:rsidTr="004B4664">
        <w:tc>
          <w:tcPr>
            <w:tcW w:w="9778" w:type="dxa"/>
          </w:tcPr>
          <w:p w:rsidR="004B4664" w:rsidRPr="004B4664" w:rsidRDefault="004B4664" w:rsidP="000520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Livello del rischio</w:t>
            </w:r>
            <w:r w:rsidR="008C2CA5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                                   MEDIO</w:t>
            </w:r>
          </w:p>
        </w:tc>
      </w:tr>
      <w:tr w:rsidR="004B4664" w:rsidRPr="004B4664" w:rsidTr="004B4664">
        <w:tc>
          <w:tcPr>
            <w:tcW w:w="9778" w:type="dxa"/>
          </w:tcPr>
          <w:p w:rsidR="004B4664" w:rsidRPr="004B4664" w:rsidRDefault="004B4664" w:rsidP="0005206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6D63D7" w:rsidRDefault="006D63D7" w:rsidP="006D63D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2D6DE1" w:rsidRPr="002D6DE1" w:rsidRDefault="006D63D7" w:rsidP="006D63D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48C4" w:rsidRPr="004B4664" w:rsidTr="007A09BC">
        <w:tc>
          <w:tcPr>
            <w:tcW w:w="9778" w:type="dxa"/>
          </w:tcPr>
          <w:p w:rsidR="005148C4" w:rsidRDefault="000D5881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>PROCESSO VIGILANZA SULLA CIRCOLAZIONE E SULLA SOSTA</w:t>
            </w:r>
          </w:p>
          <w:p w:rsidR="005148C4" w:rsidRPr="004B4664" w:rsidRDefault="005148C4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Sub – processo </w:t>
            </w:r>
            <w:r w:rsidRPr="00460A05">
              <w:rPr>
                <w:rFonts w:ascii="Arial" w:eastAsia="Arial" w:hAnsi="Arial" w:cs="Arial"/>
                <w:color w:val="000000"/>
                <w:sz w:val="18"/>
                <w:szCs w:val="18"/>
                <w:lang w:eastAsia="it-IT"/>
              </w:rPr>
              <w:t xml:space="preserve">Gestione </w:t>
            </w:r>
            <w:r w:rsidR="000F6AFF">
              <w:rPr>
                <w:rFonts w:ascii="Arial" w:eastAsia="Arial" w:hAnsi="Arial" w:cs="Arial"/>
                <w:color w:val="000000"/>
                <w:sz w:val="18"/>
                <w:szCs w:val="18"/>
                <w:lang w:eastAsia="it-IT"/>
              </w:rPr>
              <w:t>del contenzioso amministrativo in relazione a procedimenti sanzionatori</w:t>
            </w:r>
          </w:p>
        </w:tc>
      </w:tr>
      <w:tr w:rsidR="005148C4" w:rsidRPr="004B4664" w:rsidTr="007A09BC">
        <w:tc>
          <w:tcPr>
            <w:tcW w:w="9778" w:type="dxa"/>
          </w:tcPr>
          <w:p w:rsidR="005148C4" w:rsidRPr="004B4664" w:rsidRDefault="005148C4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Probabilità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</w:t>
            </w:r>
            <w:r w:rsidR="00B91BF9">
              <w:rPr>
                <w:rFonts w:ascii="Calibri" w:hAnsi="Calibri" w:cs="Calibri"/>
                <w:color w:val="FF0000"/>
                <w:sz w:val="28"/>
                <w:szCs w:val="28"/>
              </w:rPr>
              <w:t>3,16</w:t>
            </w:r>
          </w:p>
        </w:tc>
      </w:tr>
      <w:tr w:rsidR="005148C4" w:rsidRPr="004B4664" w:rsidTr="007A09BC">
        <w:tc>
          <w:tcPr>
            <w:tcW w:w="9778" w:type="dxa"/>
          </w:tcPr>
          <w:p w:rsidR="005148C4" w:rsidRPr="004B4664" w:rsidRDefault="005148C4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Impatto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1,5</w:t>
            </w:r>
          </w:p>
        </w:tc>
      </w:tr>
      <w:tr w:rsidR="005148C4" w:rsidRPr="004B4664" w:rsidTr="007A09BC">
        <w:tc>
          <w:tcPr>
            <w:tcW w:w="9778" w:type="dxa"/>
          </w:tcPr>
          <w:p w:rsidR="005148C4" w:rsidRPr="004B4664" w:rsidRDefault="005148C4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Ponderazione del rischio (probabilità per impatto)</w:t>
            </w:r>
            <w:r w:rsidR="00AC79C8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4,74</w:t>
            </w:r>
          </w:p>
        </w:tc>
      </w:tr>
      <w:tr w:rsidR="005148C4" w:rsidRPr="004B4664" w:rsidTr="007A09BC">
        <w:tc>
          <w:tcPr>
            <w:tcW w:w="9778" w:type="dxa"/>
          </w:tcPr>
          <w:p w:rsidR="005148C4" w:rsidRPr="004B4664" w:rsidRDefault="005148C4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Livello del rischio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                                   MEDIO</w:t>
            </w:r>
          </w:p>
        </w:tc>
      </w:tr>
      <w:tr w:rsidR="005148C4" w:rsidRPr="004B4664" w:rsidTr="007A09BC">
        <w:tc>
          <w:tcPr>
            <w:tcW w:w="9778" w:type="dxa"/>
          </w:tcPr>
          <w:p w:rsidR="005148C4" w:rsidRPr="004B4664" w:rsidRDefault="005148C4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5148C4" w:rsidRDefault="005148C4" w:rsidP="005148C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0E38" w:rsidRPr="004B4664" w:rsidTr="007A09BC">
        <w:tc>
          <w:tcPr>
            <w:tcW w:w="9778" w:type="dxa"/>
          </w:tcPr>
          <w:p w:rsidR="00350E38" w:rsidRDefault="00290881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>PROCESSO CONTROLLI SULL’USO DEL TERRITORIO</w:t>
            </w:r>
          </w:p>
          <w:p w:rsidR="00350E38" w:rsidRPr="004B4664" w:rsidRDefault="00350E38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Sub – processo </w:t>
            </w:r>
            <w:r w:rsidRPr="00460A05">
              <w:rPr>
                <w:rFonts w:ascii="Arial" w:eastAsia="Arial" w:hAnsi="Arial" w:cs="Arial"/>
                <w:color w:val="000000"/>
                <w:sz w:val="18"/>
                <w:szCs w:val="18"/>
                <w:lang w:eastAsia="it-IT"/>
              </w:rPr>
              <w:t xml:space="preserve">Gestione </w:t>
            </w:r>
            <w:r w:rsidR="00290881">
              <w:rPr>
                <w:rFonts w:ascii="Arial" w:eastAsia="Arial" w:hAnsi="Arial" w:cs="Arial"/>
                <w:color w:val="000000"/>
                <w:sz w:val="18"/>
                <w:szCs w:val="18"/>
                <w:lang w:eastAsia="it-IT"/>
              </w:rPr>
              <w:t>videosorveglianza del territorio comunale</w:t>
            </w:r>
          </w:p>
        </w:tc>
      </w:tr>
      <w:tr w:rsidR="00350E38" w:rsidRPr="004B4664" w:rsidTr="007A09BC">
        <w:tc>
          <w:tcPr>
            <w:tcW w:w="9778" w:type="dxa"/>
          </w:tcPr>
          <w:p w:rsidR="00350E38" w:rsidRPr="004B4664" w:rsidRDefault="00350E38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Probabilità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</w:t>
            </w:r>
            <w:r w:rsidR="00BF3EBD">
              <w:rPr>
                <w:rFonts w:ascii="Calibri" w:hAnsi="Calibri" w:cs="Calibri"/>
                <w:color w:val="FF0000"/>
                <w:sz w:val="28"/>
                <w:szCs w:val="28"/>
              </w:rPr>
              <w:t>2,5</w:t>
            </w:r>
          </w:p>
        </w:tc>
      </w:tr>
      <w:tr w:rsidR="00350E38" w:rsidRPr="004B4664" w:rsidTr="007A09BC">
        <w:tc>
          <w:tcPr>
            <w:tcW w:w="9778" w:type="dxa"/>
          </w:tcPr>
          <w:p w:rsidR="00350E38" w:rsidRPr="004B4664" w:rsidRDefault="00350E38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Impatto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1,5</w:t>
            </w:r>
          </w:p>
        </w:tc>
      </w:tr>
      <w:tr w:rsidR="00350E38" w:rsidRPr="004B4664" w:rsidTr="007A09BC">
        <w:tc>
          <w:tcPr>
            <w:tcW w:w="9778" w:type="dxa"/>
          </w:tcPr>
          <w:p w:rsidR="00350E38" w:rsidRPr="004B4664" w:rsidRDefault="00350E38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Ponderazione del rischio (probabilità per impatto)</w:t>
            </w:r>
            <w:r w:rsidR="00BF3EBD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3,75</w:t>
            </w:r>
          </w:p>
        </w:tc>
      </w:tr>
      <w:tr w:rsidR="00350E38" w:rsidRPr="004B4664" w:rsidTr="007A09BC">
        <w:tc>
          <w:tcPr>
            <w:tcW w:w="9778" w:type="dxa"/>
          </w:tcPr>
          <w:p w:rsidR="00350E38" w:rsidRPr="004B4664" w:rsidRDefault="00350E38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Livello del rischio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                                   MEDIO</w:t>
            </w:r>
          </w:p>
        </w:tc>
      </w:tr>
      <w:tr w:rsidR="00350E38" w:rsidRPr="004B4664" w:rsidTr="007A09BC">
        <w:tc>
          <w:tcPr>
            <w:tcW w:w="9778" w:type="dxa"/>
          </w:tcPr>
          <w:p w:rsidR="00350E38" w:rsidRPr="004B4664" w:rsidRDefault="00350E38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350E38" w:rsidRDefault="00350E38" w:rsidP="00350E38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7832" w:rsidRPr="004B4664" w:rsidTr="007A09BC">
        <w:tc>
          <w:tcPr>
            <w:tcW w:w="9778" w:type="dxa"/>
          </w:tcPr>
          <w:p w:rsidR="00EE7832" w:rsidRDefault="00EE7832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>PROCESSO CONTROLLI SULL’USO DEL TERRITORIO</w:t>
            </w:r>
          </w:p>
          <w:p w:rsidR="00EE7832" w:rsidRPr="004B4664" w:rsidRDefault="00EE7832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Sub – processo </w:t>
            </w:r>
            <w:r w:rsidR="00504086" w:rsidRPr="00504086">
              <w:rPr>
                <w:rFonts w:ascii="Calibri" w:hAnsi="Calibri" w:cs="Calibri"/>
              </w:rPr>
              <w:t>Gestione</w:t>
            </w:r>
            <w:r w:rsidR="00504086">
              <w:rPr>
                <w:rFonts w:ascii="Calibri" w:hAnsi="Calibri" w:cs="Calibri"/>
              </w:rPr>
              <w:t xml:space="preserve"> cessioni di fabbricato/ospitalità</w:t>
            </w:r>
          </w:p>
        </w:tc>
      </w:tr>
      <w:tr w:rsidR="00EE7832" w:rsidRPr="004B4664" w:rsidTr="007A09BC">
        <w:tc>
          <w:tcPr>
            <w:tcW w:w="9778" w:type="dxa"/>
          </w:tcPr>
          <w:p w:rsidR="00EE7832" w:rsidRPr="004B4664" w:rsidRDefault="00EE7832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Probabilità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</w:t>
            </w:r>
            <w:r w:rsidR="00AE3922">
              <w:rPr>
                <w:rFonts w:ascii="Calibri" w:hAnsi="Calibri" w:cs="Calibri"/>
                <w:color w:val="FF0000"/>
                <w:sz w:val="28"/>
                <w:szCs w:val="28"/>
              </w:rPr>
              <w:t>2,6</w:t>
            </w:r>
          </w:p>
        </w:tc>
      </w:tr>
      <w:tr w:rsidR="00EE7832" w:rsidRPr="004B4664" w:rsidTr="007A09BC">
        <w:tc>
          <w:tcPr>
            <w:tcW w:w="9778" w:type="dxa"/>
          </w:tcPr>
          <w:p w:rsidR="00EE7832" w:rsidRPr="004B4664" w:rsidRDefault="00EE7832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Impatto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1,5</w:t>
            </w:r>
          </w:p>
        </w:tc>
      </w:tr>
      <w:tr w:rsidR="00EE7832" w:rsidRPr="004B4664" w:rsidTr="007A09BC">
        <w:tc>
          <w:tcPr>
            <w:tcW w:w="9778" w:type="dxa"/>
          </w:tcPr>
          <w:p w:rsidR="00EE7832" w:rsidRPr="004B4664" w:rsidRDefault="00EE7832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Ponderazione del rischio (probabilità per impatto)</w:t>
            </w:r>
            <w:r w:rsidR="00AE3922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3,9</w:t>
            </w:r>
          </w:p>
        </w:tc>
      </w:tr>
      <w:tr w:rsidR="00EE7832" w:rsidRPr="004B4664" w:rsidTr="007A09BC">
        <w:tc>
          <w:tcPr>
            <w:tcW w:w="9778" w:type="dxa"/>
          </w:tcPr>
          <w:p w:rsidR="00EE7832" w:rsidRPr="004B4664" w:rsidRDefault="00EE7832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4B4664">
              <w:rPr>
                <w:rFonts w:ascii="Calibri" w:hAnsi="Calibri" w:cs="Calibri"/>
                <w:color w:val="FF0000"/>
                <w:sz w:val="28"/>
                <w:szCs w:val="28"/>
              </w:rPr>
              <w:t>Livello del rischio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                                                          </w:t>
            </w:r>
            <w:r w:rsidR="0040127F">
              <w:rPr>
                <w:rFonts w:ascii="Calibri" w:hAnsi="Calibri" w:cs="Calibri"/>
                <w:color w:val="FF0000"/>
                <w:sz w:val="28"/>
                <w:szCs w:val="28"/>
              </w:rPr>
              <w:t>MEDIO</w:t>
            </w:r>
          </w:p>
        </w:tc>
      </w:tr>
      <w:tr w:rsidR="00EE7832" w:rsidRPr="004B4664" w:rsidTr="007A09BC">
        <w:tc>
          <w:tcPr>
            <w:tcW w:w="9778" w:type="dxa"/>
          </w:tcPr>
          <w:p w:rsidR="00EE7832" w:rsidRPr="004B4664" w:rsidRDefault="00EE7832" w:rsidP="007A09B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EE7832" w:rsidRDefault="00EE7832" w:rsidP="00EE783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99298F" w:rsidRDefault="0099298F" w:rsidP="00EC5A7D">
      <w:pPr>
        <w:pStyle w:val="Sottotitolo"/>
        <w:jc w:val="both"/>
      </w:pPr>
      <w:bookmarkStart w:id="1" w:name="_Toc370471036"/>
    </w:p>
    <w:p w:rsidR="0099298F" w:rsidRDefault="0099298F" w:rsidP="00EC5A7D">
      <w:pPr>
        <w:pStyle w:val="Sottotitolo"/>
        <w:jc w:val="both"/>
      </w:pPr>
    </w:p>
    <w:p w:rsidR="0099298F" w:rsidRDefault="0099298F" w:rsidP="00EC5A7D">
      <w:pPr>
        <w:pStyle w:val="Sottotitolo"/>
        <w:jc w:val="both"/>
      </w:pPr>
    </w:p>
    <w:p w:rsidR="0099298F" w:rsidRDefault="0099298F" w:rsidP="00EC5A7D">
      <w:pPr>
        <w:pStyle w:val="Sottotitolo"/>
        <w:jc w:val="both"/>
      </w:pPr>
    </w:p>
    <w:p w:rsidR="0099298F" w:rsidRDefault="0099298F" w:rsidP="00EC5A7D">
      <w:pPr>
        <w:pStyle w:val="Sottotitolo"/>
        <w:jc w:val="both"/>
      </w:pPr>
    </w:p>
    <w:p w:rsidR="00EC5A7D" w:rsidRDefault="00EC5A7D" w:rsidP="00EC5A7D">
      <w:pPr>
        <w:pStyle w:val="Sottotitolo"/>
        <w:jc w:val="both"/>
      </w:pPr>
      <w:r>
        <w:t>Determinare il livello di rischio - La matrice del rischio</w:t>
      </w:r>
      <w:bookmarkEnd w:id="1"/>
    </w:p>
    <w:p w:rsidR="00EC5A7D" w:rsidRDefault="00EC5A7D" w:rsidP="00EC5A7D">
      <w:pPr>
        <w:jc w:val="both"/>
      </w:pPr>
      <w:r>
        <w:t>Conoscendo la probabilità di un evento di corruzione e la gravità del suo impatto, è possibile determinarne il livello di rischio. Il livello di rischio si ricava moltiplicando il valore della probabilità (</w:t>
      </w:r>
      <w:r>
        <w:rPr>
          <w:b/>
        </w:rPr>
        <w:t>P</w:t>
      </w:r>
      <w:r>
        <w:t>) e il valore dell’impatto (</w:t>
      </w:r>
      <w:r>
        <w:rPr>
          <w:b/>
        </w:rPr>
        <w:t>I</w:t>
      </w:r>
      <w:r>
        <w:t xml:space="preserve">), per ottenere un valore complessivo, che esprime il </w:t>
      </w:r>
      <w:r>
        <w:rPr>
          <w:i/>
        </w:rPr>
        <w:t>livello di rischio</w:t>
      </w:r>
      <w:r>
        <w:t xml:space="preserve"> (</w:t>
      </w:r>
      <w:r>
        <w:rPr>
          <w:b/>
        </w:rPr>
        <w:t>L</w:t>
      </w:r>
      <w:r>
        <w:t>) dell’evento di corruzione (</w:t>
      </w:r>
      <w:r>
        <w:rPr>
          <w:b/>
        </w:rPr>
        <w:t>L = P x I</w:t>
      </w:r>
      <w:r>
        <w:t xml:space="preserve">). Il prodotto </w:t>
      </w:r>
      <w:r>
        <w:rPr>
          <w:b/>
        </w:rPr>
        <w:t xml:space="preserve">P x I </w:t>
      </w:r>
      <w:r>
        <w:t xml:space="preserve">è un numero che descrive il livello di rischio di un evento di corruzione in termini quantitativi e che dice </w:t>
      </w:r>
      <w:r>
        <w:rPr>
          <w:i/>
        </w:rPr>
        <w:t xml:space="preserve">quanto è grande </w:t>
      </w:r>
      <w:r>
        <w:t xml:space="preserve">il rischio generato da tale evento. </w:t>
      </w:r>
    </w:p>
    <w:p w:rsidR="00EC5A7D" w:rsidRDefault="00EC5A7D" w:rsidP="00EC5A7D">
      <w:pPr>
        <w:jc w:val="both"/>
      </w:pPr>
      <w:r>
        <w:t xml:space="preserve">Allora, </w:t>
      </w:r>
      <w:r>
        <w:rPr>
          <w:b/>
        </w:rPr>
        <w:t>L = P x I</w:t>
      </w:r>
      <w:r>
        <w:t xml:space="preserve"> descrive il livello di rischio in termini di </w:t>
      </w:r>
      <w:r>
        <w:rPr>
          <w:i/>
        </w:rPr>
        <w:t>Quantità di rischio</w:t>
      </w:r>
      <w:r>
        <w:t>.</w:t>
      </w:r>
    </w:p>
    <w:p w:rsidR="00EC5A7D" w:rsidRDefault="00EC5A7D" w:rsidP="00EC5A7D">
      <w:pPr>
        <w:jc w:val="both"/>
      </w:pPr>
      <w:r>
        <w:t xml:space="preserve">La probabilità e l’impatto di un evento di corruzione dipendono da certe caratteristiche dei processi e degli uffici in cui l’evento potrebbe accadere: discrezionalità, valore economico, controlli, numero di persone dell’ufficio addette al processo, ruolo di soggetti che, nell’ufficio potrebbero attuare l’evento, </w:t>
      </w:r>
      <w:proofErr w:type="spellStart"/>
      <w:r>
        <w:t>ecc</w:t>
      </w:r>
      <w:proofErr w:type="spellEnd"/>
      <w:r>
        <w:t xml:space="preserve">… Quindi, l’analisi del rischio (determinando il livello di rischio degli eventi di corruzione), consente anche di individuare i processi, gli uffici e i soggetti maggiormente esposti al rischio di corruzione. </w:t>
      </w:r>
    </w:p>
    <w:p w:rsidR="000D0635" w:rsidRPr="00F0471D" w:rsidRDefault="00EC5A7D" w:rsidP="00F0471D">
      <w:pPr>
        <w:jc w:val="both"/>
      </w:pPr>
      <w:r>
        <w:t xml:space="preserve">L’insieme dei possibili valori della </w:t>
      </w:r>
      <w:r>
        <w:rPr>
          <w:i/>
        </w:rPr>
        <w:t>Quantità di rischio</w:t>
      </w:r>
      <w:r>
        <w:t xml:space="preserve"> è rappresentato nella matrice seguente:</w:t>
      </w:r>
    </w:p>
    <w:p w:rsidR="000D0635" w:rsidRDefault="000D0635" w:rsidP="000D063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2D6DE1" w:rsidRPr="00081676" w:rsidRDefault="000D0635" w:rsidP="002D6DE1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562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0"/>
        <w:gridCol w:w="420"/>
        <w:gridCol w:w="420"/>
        <w:gridCol w:w="840"/>
        <w:gridCol w:w="840"/>
        <w:gridCol w:w="840"/>
        <w:gridCol w:w="840"/>
        <w:gridCol w:w="840"/>
      </w:tblGrid>
      <w:tr w:rsidR="00B860E7" w:rsidRPr="00B860E7" w:rsidTr="00B860E7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PROBABILITA'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860E7" w:rsidRPr="00B860E7" w:rsidTr="00B860E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B860E7" w:rsidRPr="00B860E7" w:rsidTr="00B860E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FF0000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860E7" w:rsidRPr="00B860E7" w:rsidTr="00B860E7">
        <w:trPr>
          <w:trHeight w:val="300"/>
        </w:trPr>
        <w:tc>
          <w:tcPr>
            <w:tcW w:w="58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B860E7" w:rsidRPr="00B860E7" w:rsidTr="00B860E7">
        <w:trPr>
          <w:trHeight w:val="315"/>
        </w:trPr>
        <w:tc>
          <w:tcPr>
            <w:tcW w:w="58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60E7" w:rsidRPr="00B860E7" w:rsidRDefault="00B860E7" w:rsidP="00B86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B860E7" w:rsidRPr="00B860E7" w:rsidTr="00B860E7">
        <w:trPr>
          <w:trHeight w:val="315"/>
        </w:trPr>
        <w:tc>
          <w:tcPr>
            <w:tcW w:w="58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noWrap/>
            <w:vAlign w:val="bottom"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860E7" w:rsidRPr="00B860E7" w:rsidRDefault="00B860E7" w:rsidP="00B860E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IMPATTO</w:t>
            </w:r>
          </w:p>
        </w:tc>
      </w:tr>
    </w:tbl>
    <w:p w:rsidR="00081676" w:rsidRDefault="00081676" w:rsidP="000D0635">
      <w:pPr>
        <w:rPr>
          <w:b/>
          <w:sz w:val="28"/>
          <w:szCs w:val="28"/>
        </w:rPr>
      </w:pPr>
    </w:p>
    <w:p w:rsidR="009014CF" w:rsidRPr="009014CF" w:rsidRDefault="009014CF" w:rsidP="008D438D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="Times New Roman"/>
          <w:lang w:eastAsia="zh-CN"/>
        </w:rPr>
      </w:pPr>
      <w:r w:rsidRPr="009014CF">
        <w:rPr>
          <w:rFonts w:eastAsia="Times New Roman" w:cs="Times New Roman"/>
          <w:lang w:eastAsia="zh-CN"/>
        </w:rPr>
        <w:t xml:space="preserve">Il Piano Nazionale non fornisce indicazioni per analizzare il rischio, oltre  quella di considerarlo una quantità numerica. Pertanto, per semplificare e facilitare il raffronto fra gli eventi di corruzione, può essere utile “raggruppare” i valori della matrice indicando, con colori differenti, quali valori individuano un livello di rischio </w:t>
      </w:r>
      <w:r w:rsidRPr="009014CF">
        <w:rPr>
          <w:rFonts w:eastAsia="Times New Roman" w:cs="Times New Roman"/>
          <w:i/>
          <w:lang w:eastAsia="zh-CN"/>
        </w:rPr>
        <w:t>medio - basso</w:t>
      </w:r>
      <w:r w:rsidRPr="009014CF">
        <w:rPr>
          <w:rFonts w:eastAsia="Times New Roman" w:cs="Times New Roman"/>
          <w:lang w:eastAsia="zh-CN"/>
        </w:rPr>
        <w:t xml:space="preserve">, quali un livello di rischio </w:t>
      </w:r>
      <w:r w:rsidRPr="009014CF">
        <w:rPr>
          <w:rFonts w:eastAsia="Times New Roman" w:cs="Times New Roman"/>
          <w:i/>
          <w:lang w:eastAsia="zh-CN"/>
        </w:rPr>
        <w:t>rilevante</w:t>
      </w:r>
      <w:r w:rsidRPr="009014CF">
        <w:rPr>
          <w:rFonts w:eastAsia="Times New Roman" w:cs="Times New Roman"/>
          <w:lang w:eastAsia="zh-CN"/>
        </w:rPr>
        <w:t xml:space="preserve"> e quali, infine, un livello di rischio </w:t>
      </w:r>
      <w:r w:rsidRPr="009014CF">
        <w:rPr>
          <w:rFonts w:eastAsia="Times New Roman" w:cs="Times New Roman"/>
          <w:i/>
          <w:lang w:eastAsia="zh-CN"/>
        </w:rPr>
        <w:t>elevato</w:t>
      </w:r>
      <w:r w:rsidRPr="009014CF">
        <w:rPr>
          <w:rFonts w:eastAsia="Times New Roman" w:cs="Times New Roman"/>
          <w:lang w:eastAsia="zh-CN"/>
        </w:rPr>
        <w:t xml:space="preserve">. </w:t>
      </w:r>
    </w:p>
    <w:p w:rsidR="009014CF" w:rsidRPr="009014CF" w:rsidRDefault="009014CF" w:rsidP="008D438D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Il presente Piano utilizza la </w:t>
      </w:r>
      <w:r w:rsidRPr="009014CF">
        <w:rPr>
          <w:rFonts w:eastAsia="Times New Roman" w:cs="Times New Roman"/>
          <w:i/>
          <w:lang w:eastAsia="zh-CN"/>
        </w:rPr>
        <w:t xml:space="preserve">Matrice del Rischio </w:t>
      </w:r>
      <w:r w:rsidR="0099298F">
        <w:rPr>
          <w:rFonts w:eastAsia="Times New Roman" w:cs="Times New Roman"/>
          <w:lang w:eastAsia="zh-CN"/>
        </w:rPr>
        <w:t xml:space="preserve">rappresentata nel riportato </w:t>
      </w:r>
      <w:r w:rsidR="00C33AF1">
        <w:rPr>
          <w:rFonts w:eastAsia="Times New Roman" w:cs="Times New Roman"/>
          <w:lang w:eastAsia="zh-CN"/>
        </w:rPr>
        <w:t>allegato b) al PTPC 2018/2020.</w:t>
      </w:r>
    </w:p>
    <w:p w:rsidR="009014CF" w:rsidRPr="00081676" w:rsidRDefault="009014CF" w:rsidP="000D0635">
      <w:pPr>
        <w:rPr>
          <w:b/>
          <w:sz w:val="28"/>
          <w:szCs w:val="28"/>
        </w:rPr>
      </w:pPr>
    </w:p>
    <w:sectPr w:rsidR="009014CF" w:rsidRPr="000816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E092D"/>
    <w:multiLevelType w:val="hybridMultilevel"/>
    <w:tmpl w:val="DFC4E4B0"/>
    <w:lvl w:ilvl="0" w:tplc="3A16A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35"/>
    <w:rsid w:val="00081676"/>
    <w:rsid w:val="000D0635"/>
    <w:rsid w:val="000D5881"/>
    <w:rsid w:val="000F6AFF"/>
    <w:rsid w:val="00116A61"/>
    <w:rsid w:val="001454FB"/>
    <w:rsid w:val="001523ED"/>
    <w:rsid w:val="002072BE"/>
    <w:rsid w:val="00290881"/>
    <w:rsid w:val="002A04F5"/>
    <w:rsid w:val="002C69A3"/>
    <w:rsid w:val="002D6DE1"/>
    <w:rsid w:val="00350E38"/>
    <w:rsid w:val="00374054"/>
    <w:rsid w:val="0040127F"/>
    <w:rsid w:val="00460A05"/>
    <w:rsid w:val="004B4664"/>
    <w:rsid w:val="00504086"/>
    <w:rsid w:val="005148C4"/>
    <w:rsid w:val="00537ED0"/>
    <w:rsid w:val="005829B8"/>
    <w:rsid w:val="00594771"/>
    <w:rsid w:val="00616A04"/>
    <w:rsid w:val="00673A75"/>
    <w:rsid w:val="00677C2B"/>
    <w:rsid w:val="006A31BC"/>
    <w:rsid w:val="006D63D7"/>
    <w:rsid w:val="008C2CA5"/>
    <w:rsid w:val="008D438D"/>
    <w:rsid w:val="009014CF"/>
    <w:rsid w:val="00933315"/>
    <w:rsid w:val="00944BC6"/>
    <w:rsid w:val="00984459"/>
    <w:rsid w:val="0099298F"/>
    <w:rsid w:val="00A63F35"/>
    <w:rsid w:val="00A6471D"/>
    <w:rsid w:val="00A86D23"/>
    <w:rsid w:val="00A918A5"/>
    <w:rsid w:val="00AC430E"/>
    <w:rsid w:val="00AC79C8"/>
    <w:rsid w:val="00AE3922"/>
    <w:rsid w:val="00B30AA7"/>
    <w:rsid w:val="00B860E7"/>
    <w:rsid w:val="00B91BF9"/>
    <w:rsid w:val="00BF3EBD"/>
    <w:rsid w:val="00C33AF1"/>
    <w:rsid w:val="00D05C1A"/>
    <w:rsid w:val="00DD2DA1"/>
    <w:rsid w:val="00E81FC6"/>
    <w:rsid w:val="00EC5A7D"/>
    <w:rsid w:val="00EE7832"/>
    <w:rsid w:val="00F0471D"/>
    <w:rsid w:val="00F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087FF-8FFB-470F-8892-C8FAA331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6DE1"/>
    <w:pPr>
      <w:ind w:left="720"/>
      <w:contextualSpacing/>
    </w:pPr>
  </w:style>
  <w:style w:type="table" w:styleId="Grigliatabella">
    <w:name w:val="Table Grid"/>
    <w:basedOn w:val="Tabellanormale"/>
    <w:uiPriority w:val="39"/>
    <w:rsid w:val="004B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99"/>
    <w:qFormat/>
    <w:rsid w:val="00EC5A7D"/>
    <w:pPr>
      <w:spacing w:after="200" w:line="276" w:lineRule="auto"/>
    </w:pPr>
    <w:rPr>
      <w:rFonts w:ascii="Calibri" w:eastAsia="Times New Roman" w:hAnsi="Calibri" w:cs="Times New Roman"/>
      <w:b/>
      <w:iCs/>
      <w:spacing w:val="15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C5A7D"/>
    <w:rPr>
      <w:rFonts w:ascii="Calibri" w:eastAsia="Times New Roman" w:hAnsi="Calibri" w:cs="Times New Roman"/>
      <w:b/>
      <w:iCs/>
      <w:spacing w:val="15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Scarpone</dc:creator>
  <cp:keywords/>
  <dc:description/>
  <cp:lastModifiedBy>Brunella Di Bonaventura</cp:lastModifiedBy>
  <cp:revision>2</cp:revision>
  <dcterms:created xsi:type="dcterms:W3CDTF">2019-02-27T08:05:00Z</dcterms:created>
  <dcterms:modified xsi:type="dcterms:W3CDTF">2019-02-27T08:05:00Z</dcterms:modified>
</cp:coreProperties>
</file>